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B1" w:rsidRPr="002004B1" w:rsidRDefault="002004B1" w:rsidP="00200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br/>
        <w:t>«</w:t>
      </w:r>
      <w:r w:rsidR="005860E4">
        <w:rPr>
          <w:rFonts w:ascii="Arial" w:eastAsia="Times New Roman" w:hAnsi="Arial" w:cs="Arial"/>
          <w:b/>
          <w:sz w:val="24"/>
          <w:szCs w:val="24"/>
          <w:lang w:eastAsia="ru-RU"/>
        </w:rPr>
        <w:t>ИТАТСКОЕ</w:t>
      </w: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2004B1" w:rsidRPr="002004B1" w:rsidRDefault="002004B1" w:rsidP="002004B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АДМИНИСТРАЦИЯ </w:t>
      </w:r>
      <w:r w:rsidR="005860E4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ИТАТСКОГО</w:t>
      </w:r>
      <w:r w:rsidRPr="002004B1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СЕЛЬСКОГО ПОСЕЛЕНИЯ</w:t>
      </w:r>
    </w:p>
    <w:p w:rsidR="002004B1" w:rsidRPr="002004B1" w:rsidRDefault="002004B1" w:rsidP="00200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04B1" w:rsidRPr="002004B1" w:rsidRDefault="002004B1" w:rsidP="00200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004B1" w:rsidRPr="0093797D" w:rsidRDefault="002004B1" w:rsidP="002004B1">
      <w:pPr>
        <w:tabs>
          <w:tab w:val="right" w:pos="9072"/>
        </w:tabs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4B2D3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B2D3D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                                                </w:t>
      </w:r>
      <w:r w:rsidR="0093797D"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3797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3797D"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 w:rsidR="004B2D3D">
        <w:rPr>
          <w:rFonts w:ascii="Arial" w:eastAsia="Times New Roman" w:hAnsi="Arial" w:cs="Arial"/>
          <w:sz w:val="24"/>
          <w:szCs w:val="24"/>
          <w:lang w:eastAsia="ru-RU"/>
        </w:rPr>
        <w:t>136</w:t>
      </w:r>
      <w:r w:rsidRPr="00937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04B1" w:rsidRPr="0093797D" w:rsidRDefault="002004B1" w:rsidP="00200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9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r w:rsidR="005860E4" w:rsidRPr="0093797D">
        <w:rPr>
          <w:rFonts w:ascii="Arial" w:eastAsia="Times New Roman" w:hAnsi="Arial" w:cs="Arial"/>
          <w:b/>
          <w:sz w:val="24"/>
          <w:szCs w:val="24"/>
          <w:lang w:eastAsia="ru-RU"/>
        </w:rPr>
        <w:t>Итатка</w:t>
      </w:r>
    </w:p>
    <w:p w:rsidR="002004B1" w:rsidRPr="002004B1" w:rsidRDefault="002004B1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4B1" w:rsidRDefault="002004B1" w:rsidP="005860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Методики прогнозирования поступл</w:t>
      </w:r>
      <w:r w:rsidR="00156931">
        <w:rPr>
          <w:rFonts w:ascii="Arial" w:eastAsia="Times New Roman" w:hAnsi="Arial" w:cs="Arial"/>
          <w:b/>
          <w:sz w:val="24"/>
          <w:szCs w:val="24"/>
          <w:lang w:eastAsia="ru-RU"/>
        </w:rPr>
        <w:t>ений доходов в  бюджет  муниципального образования «Итатское сельское поселение»</w:t>
      </w:r>
    </w:p>
    <w:p w:rsidR="002004B1" w:rsidRPr="002004B1" w:rsidRDefault="002004B1" w:rsidP="002004B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со </w:t>
      </w:r>
      <w:hyperlink r:id="rId5" w:history="1">
        <w:r w:rsidRPr="002004B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статьей 160.1</w:t>
        </w:r>
      </w:hyperlink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</w:t>
      </w:r>
      <w:r>
        <w:rPr>
          <w:rFonts w:ascii="Arial" w:eastAsia="Times New Roman" w:hAnsi="Arial" w:cs="Arial"/>
          <w:sz w:val="24"/>
          <w:szCs w:val="24"/>
          <w:lang w:eastAsia="ru-RU"/>
        </w:rPr>
        <w:t>июня 2016 года № 574,</w:t>
      </w: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r w:rsidR="005860E4">
        <w:rPr>
          <w:rFonts w:ascii="Arial" w:eastAsia="Times New Roman" w:hAnsi="Arial" w:cs="Arial"/>
          <w:b/>
          <w:sz w:val="24"/>
          <w:szCs w:val="24"/>
          <w:lang w:eastAsia="ru-RU"/>
        </w:rPr>
        <w:t>ОСТАНОВЛЯЮ</w:t>
      </w:r>
      <w:r w:rsidRPr="002004B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Утвердить Методику прогнозирования поступлений доходов в бюджет </w:t>
      </w:r>
      <w:r w:rsidR="0015693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</w:t>
      </w:r>
      <w:r w:rsidR="0015693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5693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156931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Управляющему Делами 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Порошиной С.М.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постановление  в Информационном бюллетене 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(http:// </w:t>
      </w:r>
      <w:hyperlink r:id="rId6" w:history="1">
        <w:r w:rsidR="00156931" w:rsidRPr="00867FA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156931" w:rsidRPr="00867FA5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itatkaps</w:t>
        </w:r>
        <w:r w:rsidR="00156931" w:rsidRPr="00867FA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156931" w:rsidRPr="00867FA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2004B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56931" w:rsidRDefault="0015693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3. Установить, что настоящая Методика применяется, начиная  с формирования прогноза  бюджета муниципального образования «Итатское сельское поселения» на 2017 год </w:t>
      </w:r>
      <w:r w:rsidR="000F555D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2018 и 2019 годов.</w:t>
      </w:r>
    </w:p>
    <w:p w:rsidR="002004B1" w:rsidRPr="002004B1" w:rsidRDefault="002004B1" w:rsidP="002004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555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004B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</w:t>
      </w:r>
      <w:r w:rsidR="005860E4" w:rsidRPr="005860E4">
        <w:rPr>
          <w:rFonts w:ascii="Arial" w:eastAsia="Times New Roman" w:hAnsi="Arial" w:cs="Arial"/>
          <w:sz w:val="24"/>
          <w:szCs w:val="24"/>
          <w:lang w:eastAsia="ru-RU"/>
        </w:rPr>
        <w:t>Коваль Т.А.</w:t>
      </w:r>
      <w:r w:rsidRPr="002004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04B1" w:rsidRPr="002004B1" w:rsidRDefault="002004B1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4B1" w:rsidRPr="002004B1" w:rsidRDefault="002004B1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4B1" w:rsidRPr="002004B1" w:rsidRDefault="002004B1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2004B1" w:rsidRDefault="002004B1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    </w:t>
      </w:r>
      <w:r w:rsidR="002C09CF">
        <w:rPr>
          <w:rFonts w:ascii="Arial" w:eastAsia="Times New Roman" w:hAnsi="Arial" w:cs="Arial"/>
          <w:sz w:val="24"/>
          <w:szCs w:val="24"/>
          <w:lang w:eastAsia="ru-RU"/>
        </w:rPr>
        <w:t xml:space="preserve">        В.Ю. </w:t>
      </w:r>
      <w:proofErr w:type="spellStart"/>
      <w:r w:rsidR="002C09CF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  <w:r w:rsidRPr="002004B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345060" w:rsidRDefault="00345060" w:rsidP="00200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060" w:rsidRPr="002004B1" w:rsidRDefault="00345060" w:rsidP="002004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04B1" w:rsidRPr="002004B1" w:rsidRDefault="002004B1" w:rsidP="002004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04B1" w:rsidRDefault="002004B1" w:rsidP="002004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04B1" w:rsidRDefault="002004B1" w:rsidP="002004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2289" w:rsidRPr="00422289" w:rsidRDefault="00422289" w:rsidP="004222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228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:rsidR="00422289" w:rsidRPr="00422289" w:rsidRDefault="00422289" w:rsidP="004222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2289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422289" w:rsidRPr="00422289" w:rsidRDefault="005860E4" w:rsidP="004222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Итатского</w:t>
      </w:r>
      <w:r w:rsidR="00422289" w:rsidRPr="0042228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 поселения</w:t>
      </w:r>
    </w:p>
    <w:p w:rsidR="00422289" w:rsidRPr="00422289" w:rsidRDefault="00422289" w:rsidP="004222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2289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4B2D3D">
        <w:rPr>
          <w:rFonts w:ascii="Arial" w:eastAsia="Times New Roman" w:hAnsi="Arial" w:cs="Arial"/>
          <w:sz w:val="20"/>
          <w:szCs w:val="20"/>
          <w:lang w:eastAsia="ru-RU"/>
        </w:rPr>
        <w:t xml:space="preserve"> 15.11.</w:t>
      </w:r>
      <w:r w:rsidRPr="00422289">
        <w:rPr>
          <w:rFonts w:ascii="Arial" w:eastAsia="Times New Roman" w:hAnsi="Arial" w:cs="Arial"/>
          <w:sz w:val="20"/>
          <w:szCs w:val="20"/>
          <w:lang w:eastAsia="ru-RU"/>
        </w:rPr>
        <w:t xml:space="preserve"> 2016 года</w:t>
      </w:r>
      <w:r w:rsidR="00207F17" w:rsidRPr="00207F1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22289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4B2D3D">
        <w:rPr>
          <w:rFonts w:ascii="Arial" w:eastAsia="Times New Roman" w:hAnsi="Arial" w:cs="Arial"/>
          <w:sz w:val="20"/>
          <w:szCs w:val="20"/>
          <w:lang w:eastAsia="ru-RU"/>
        </w:rPr>
        <w:t>136</w:t>
      </w:r>
    </w:p>
    <w:p w:rsidR="00422289" w:rsidRPr="00422289" w:rsidRDefault="00422289" w:rsidP="0042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422289" w:rsidRPr="00422289" w:rsidRDefault="00422289" w:rsidP="0042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МЕТОДИКА</w:t>
      </w:r>
    </w:p>
    <w:p w:rsidR="00422289" w:rsidRPr="00422289" w:rsidRDefault="00422289" w:rsidP="004222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прогнозирования поступлений доходов </w:t>
      </w:r>
    </w:p>
    <w:p w:rsidR="00422289" w:rsidRPr="00422289" w:rsidRDefault="00422289" w:rsidP="004222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в бюджет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2289" w:rsidRPr="00422289" w:rsidRDefault="00422289" w:rsidP="004222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1.          Настоящая методика разработана в целях прогнозирования Администрацией 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(далее – Администрация поселения) поступлений доходов в бюджет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5860E4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207F17"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>(далее - бюджет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207F1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, в отношении которых Администрация поселения  наделена полномочиями главного администратора доходов бюджета поселения, в очередном финансовом году и плановом периоде.</w:t>
      </w:r>
    </w:p>
    <w:p w:rsidR="00422289" w:rsidRPr="00422289" w:rsidRDefault="00422289" w:rsidP="0042228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2. Прогнозирование доходов бюджета поселения осуществляется в разрезе видов доходов бюджета поселения в соответствии со следующими методами расчета: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 иной способ, предусмотренный настоящей методикой.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3. Прогнозирование доходов бюджета поселения, получаемые в виде</w:t>
      </w:r>
      <w:r w:rsidR="009367B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2E97" w:rsidRPr="007A2E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2E97" w:rsidRPr="007A2E97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A2E97" w:rsidRPr="00422289" w:rsidRDefault="007A2E97" w:rsidP="007A2E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A2E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2E97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ЖКХ</w:t>
      </w:r>
      <w:r w:rsidRPr="007A2E97">
        <w:rPr>
          <w:rFonts w:ascii="Arial" w:eastAsia="Times New Roman" w:hAnsi="Arial" w:cs="Arial"/>
          <w:sz w:val="24"/>
          <w:szCs w:val="24"/>
          <w:lang w:eastAsia="ru-RU"/>
        </w:rPr>
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2289" w:rsidRPr="00422289" w:rsidRDefault="00422289" w:rsidP="00E96C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07F17" w:rsidRPr="007A2E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прочих поступлений от использования  имущества, находящегося  в собственности 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207F17" w:rsidRPr="007A2E97">
        <w:rPr>
          <w:rFonts w:ascii="Arial" w:eastAsia="Times New Roman" w:hAnsi="Arial" w:cs="Arial"/>
          <w:sz w:val="24"/>
          <w:szCs w:val="24"/>
          <w:lang w:eastAsia="ru-RU"/>
        </w:rPr>
        <w:t xml:space="preserve"> – наем жилья</w:t>
      </w:r>
      <w:r w:rsidR="006304D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04D8" w:rsidRPr="00E87A53" w:rsidRDefault="006304D8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A53">
        <w:rPr>
          <w:rFonts w:ascii="Arial" w:eastAsia="Times New Roman" w:hAnsi="Arial" w:cs="Arial"/>
          <w:sz w:val="24"/>
          <w:szCs w:val="24"/>
          <w:lang w:eastAsia="ru-RU"/>
        </w:rPr>
        <w:t>Расчет прогнозируемого объема  доходов от предоставления имущества, находящегося в государственной или муниципальной собствен</w:t>
      </w:r>
      <w:r w:rsidR="00E87A53" w:rsidRPr="00E87A53">
        <w:rPr>
          <w:rFonts w:ascii="Arial" w:eastAsia="Times New Roman" w:hAnsi="Arial" w:cs="Arial"/>
          <w:sz w:val="24"/>
          <w:szCs w:val="24"/>
          <w:lang w:eastAsia="ru-RU"/>
        </w:rPr>
        <w:t xml:space="preserve">ности, в аренду, осуществляется с </w:t>
      </w:r>
      <w:r w:rsidRPr="00E87A53">
        <w:rPr>
          <w:rFonts w:ascii="Arial" w:eastAsia="Times New Roman" w:hAnsi="Arial" w:cs="Arial"/>
          <w:sz w:val="24"/>
          <w:szCs w:val="24"/>
          <w:lang w:eastAsia="ru-RU"/>
        </w:rPr>
        <w:t>приме</w:t>
      </w:r>
      <w:r w:rsidR="00E87A53" w:rsidRPr="00E87A5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A5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87A53" w:rsidRPr="00E87A53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Pr="00E87A53">
        <w:rPr>
          <w:rFonts w:ascii="Arial" w:eastAsia="Times New Roman" w:hAnsi="Arial" w:cs="Arial"/>
          <w:sz w:val="24"/>
          <w:szCs w:val="24"/>
          <w:lang w:eastAsia="ru-RU"/>
        </w:rPr>
        <w:t xml:space="preserve"> метод</w:t>
      </w:r>
      <w:r w:rsidR="00E87A53" w:rsidRPr="00E87A53">
        <w:rPr>
          <w:rFonts w:ascii="Arial" w:eastAsia="Times New Roman" w:hAnsi="Arial" w:cs="Arial"/>
          <w:sz w:val="24"/>
          <w:szCs w:val="24"/>
          <w:lang w:eastAsia="ru-RU"/>
        </w:rPr>
        <w:t>а прямого расчета.</w:t>
      </w:r>
    </w:p>
    <w:p w:rsidR="006304D8" w:rsidRP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7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304D8" w:rsidRPr="00E9447D">
        <w:rPr>
          <w:rFonts w:ascii="Arial" w:eastAsia="Times New Roman" w:hAnsi="Arial" w:cs="Arial"/>
          <w:sz w:val="24"/>
          <w:szCs w:val="24"/>
          <w:lang w:eastAsia="ru-RU"/>
        </w:rPr>
        <w:t>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</w:t>
      </w:r>
      <w:r w:rsidRPr="00E9447D">
        <w:rPr>
          <w:rFonts w:ascii="Arial" w:eastAsia="Times New Roman" w:hAnsi="Arial" w:cs="Arial"/>
          <w:sz w:val="24"/>
          <w:szCs w:val="24"/>
          <w:lang w:eastAsia="ru-RU"/>
        </w:rPr>
        <w:t>циально-экономического развития.</w:t>
      </w:r>
    </w:p>
    <w:p w:rsidR="006304D8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304D8" w:rsidRPr="00E9447D">
        <w:rPr>
          <w:rFonts w:ascii="Arial" w:eastAsia="Times New Roman" w:hAnsi="Arial" w:cs="Arial"/>
          <w:sz w:val="24"/>
          <w:szCs w:val="24"/>
          <w:lang w:eastAsia="ru-RU"/>
        </w:rPr>
        <w:t>сточником данных о сдаваемой в аренду площади и ставке арендной платы являются договоры, заключенные (планируем</w:t>
      </w:r>
      <w:r w:rsidRPr="00E9447D">
        <w:rPr>
          <w:rFonts w:ascii="Arial" w:eastAsia="Times New Roman" w:hAnsi="Arial" w:cs="Arial"/>
          <w:sz w:val="24"/>
          <w:szCs w:val="24"/>
          <w:lang w:eastAsia="ru-RU"/>
        </w:rPr>
        <w:t>ые к заключению) с арендаторами.</w:t>
      </w:r>
    </w:p>
    <w:p w:rsid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Сумма арендной платы, прогнозируемая к поступлению на очередной финансовый год, рассчитывается по следующей формуле:</w:t>
      </w:r>
    </w:p>
    <w:p w:rsid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 = </w:t>
      </w:r>
      <w:r w:rsidR="000F2CF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5860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0F2CFB">
        <w:rPr>
          <w:rFonts w:ascii="Arial" w:eastAsia="Times New Roman" w:hAnsi="Arial" w:cs="Arial"/>
          <w:sz w:val="24"/>
          <w:szCs w:val="24"/>
          <w:lang w:eastAsia="ru-RU"/>
        </w:rPr>
        <w:t>) * 12</w:t>
      </w:r>
      <w:r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- арендная плата;</w:t>
      </w:r>
    </w:p>
    <w:p w:rsidR="00E9447D" w:rsidRP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944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9447D">
        <w:rPr>
          <w:rFonts w:ascii="Arial" w:eastAsia="Times New Roman" w:hAnsi="Arial" w:cs="Arial"/>
          <w:sz w:val="24"/>
          <w:szCs w:val="24"/>
          <w:lang w:eastAsia="ru-RU"/>
        </w:rPr>
        <w:t>площадь</w:t>
      </w:r>
      <w:proofErr w:type="gramEnd"/>
      <w:r w:rsidRPr="00E9447D">
        <w:rPr>
          <w:rFonts w:ascii="Arial" w:eastAsia="Times New Roman" w:hAnsi="Arial" w:cs="Arial"/>
          <w:sz w:val="24"/>
          <w:szCs w:val="24"/>
          <w:lang w:eastAsia="ru-RU"/>
        </w:rPr>
        <w:t xml:space="preserve"> сдаваемых объектов;</w:t>
      </w:r>
    </w:p>
    <w:p w:rsidR="00E9447D" w:rsidRPr="00E9447D" w:rsidRDefault="00E9447D" w:rsidP="006304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447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9447D">
        <w:rPr>
          <w:rFonts w:ascii="Arial" w:eastAsia="Times New Roman" w:hAnsi="Arial" w:cs="Arial"/>
          <w:sz w:val="24"/>
          <w:szCs w:val="24"/>
          <w:lang w:eastAsia="ru-RU"/>
        </w:rPr>
        <w:t xml:space="preserve"> - ставка арендной платы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4 Прогнозирование доходов бюджета поселения, получаемые в виде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E5FF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74475" w:rsidRPr="00274475">
        <w:rPr>
          <w:rFonts w:ascii="Arial" w:eastAsia="Times New Roman" w:hAnsi="Arial" w:cs="Arial"/>
          <w:sz w:val="24"/>
          <w:szCs w:val="24"/>
          <w:lang w:eastAsia="ru-RU"/>
        </w:rPr>
        <w:t>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E5FF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74475" w:rsidRPr="00274475">
        <w:rPr>
          <w:rFonts w:ascii="Arial" w:eastAsia="Times New Roman" w:hAnsi="Arial" w:cs="Arial"/>
          <w:sz w:val="24"/>
          <w:szCs w:val="24"/>
          <w:lang w:eastAsia="ru-RU"/>
        </w:rPr>
        <w:t>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 доходов  от реализации  иного  имущества</w:t>
      </w:r>
      <w:r w:rsidR="00274475" w:rsidRPr="00274475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находящегося  в собственности 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E96CCB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 доходов  от реализации  иного  имущества, находящегося 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</w:t>
      </w:r>
      <w:r w:rsidR="002744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4475" w:rsidRPr="00274475">
        <w:rPr>
          <w:rFonts w:ascii="Arial" w:eastAsia="Times New Roman" w:hAnsi="Arial" w:cs="Arial"/>
          <w:sz w:val="24"/>
          <w:szCs w:val="24"/>
          <w:lang w:eastAsia="ru-RU"/>
        </w:rPr>
        <w:t>по указанному имуществу;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2EED" w:rsidRDefault="003B2EED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д</w:t>
      </w:r>
      <w:r w:rsidRPr="003B2EED">
        <w:rPr>
          <w:rFonts w:ascii="Arial" w:eastAsia="Times New Roman" w:hAnsi="Arial" w:cs="Arial"/>
          <w:sz w:val="24"/>
          <w:szCs w:val="24"/>
          <w:lang w:eastAsia="ru-RU"/>
        </w:rPr>
        <w:t>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по указанному имуществу осуществляется с применением двух методов расчета: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   метод прямого расчета;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- метод усреднения на основании усредненных годовых объемов фактического поступления соответствующих доходов за предшествующие                   три года по данным отчетов об и</w:t>
      </w:r>
      <w:r w:rsidR="00274475">
        <w:rPr>
          <w:rFonts w:ascii="Arial" w:eastAsia="Times New Roman" w:hAnsi="Arial" w:cs="Arial"/>
          <w:sz w:val="24"/>
          <w:szCs w:val="24"/>
          <w:lang w:eastAsia="ru-RU"/>
        </w:rPr>
        <w:t>сполнении бюджета  поселения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РИ = </w:t>
      </w:r>
      <w:proofErr w:type="spellStart"/>
      <w:proofErr w:type="gram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* </w:t>
      </w:r>
      <w:proofErr w:type="spell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Пл</w:t>
      </w:r>
      <w:proofErr w:type="spellEnd"/>
    </w:p>
    <w:p w:rsidR="00422289" w:rsidRPr="00422289" w:rsidRDefault="00422289" w:rsidP="0042228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2289" w:rsidRPr="00422289" w:rsidRDefault="00422289" w:rsidP="0042228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РИ – объем  доходов от реализации имущества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spell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spell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объектов недвижимости, подлежащих реализации в очередном финансовом году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422289" w:rsidRPr="00422289" w:rsidRDefault="00422289" w:rsidP="004222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РИ 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= (РИ 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РИ 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РИ 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)/3,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5. 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(форма 0503127).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422289" w:rsidRP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B2EE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3B2EED" w:rsidRPr="003B2EED">
        <w:rPr>
          <w:rFonts w:ascii="Arial" w:eastAsia="Times New Roman" w:hAnsi="Arial" w:cs="Arial"/>
          <w:sz w:val="24"/>
          <w:szCs w:val="24"/>
          <w:lang w:eastAsia="ru-RU"/>
        </w:rPr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2289" w:rsidRDefault="00422289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5094B" w:rsidRPr="003B2E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прочие доходы от комп</w:t>
      </w:r>
      <w:r w:rsidR="00E96CCB" w:rsidRPr="003B2EED">
        <w:rPr>
          <w:rFonts w:ascii="Arial" w:eastAsia="Times New Roman" w:hAnsi="Arial" w:cs="Arial"/>
          <w:sz w:val="24"/>
          <w:szCs w:val="24"/>
          <w:lang w:eastAsia="ru-RU"/>
        </w:rPr>
        <w:t>енсации затрат бюджетов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поселений;</w:t>
      </w:r>
    </w:p>
    <w:p w:rsidR="003B2EED" w:rsidRPr="00422289" w:rsidRDefault="003B2EED" w:rsidP="004222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н</w:t>
      </w:r>
      <w:r w:rsidRPr="003B2EED">
        <w:rPr>
          <w:rFonts w:ascii="Arial" w:eastAsia="Times New Roman" w:hAnsi="Arial" w:cs="Arial"/>
          <w:bCs/>
          <w:sz w:val="24"/>
          <w:szCs w:val="24"/>
          <w:lang w:eastAsia="ru-RU"/>
        </w:rPr>
        <w:t>евыясненные поступления, зачисляемые в бюджеты поселений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22289" w:rsidRPr="00422289" w:rsidRDefault="00E96CCB" w:rsidP="00422289">
      <w:pPr>
        <w:spacing w:after="0" w:line="24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E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87A5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2289" w:rsidRPr="00422289">
        <w:rPr>
          <w:rFonts w:ascii="Arial" w:eastAsia="Times New Roman" w:hAnsi="Arial" w:cs="Arial"/>
          <w:sz w:val="24"/>
          <w:szCs w:val="24"/>
          <w:lang w:eastAsia="ru-RU"/>
        </w:rPr>
        <w:t>  прочие неналоговые доходы бюджетов сельских поселений.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Расчет объемов данных поступлений на очередной финансовый год осуществляется по следующей формуле: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-3)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)/4,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-3)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– фактическое значение годовых поступлений за три отчетных года;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– ожидаемый объем поступлений в текущем финансовом году, рассчитываемый по следующей формуле: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= (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) *12,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) 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softHyphen/>
        <w:t>– фактическое значение поступлений за истекший период текущего года;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422289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месяцев истекшего периода текущего года.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+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)/3,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gramEnd"/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-2)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-1)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22289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t</w:t>
      </w:r>
      <w:r w:rsidRPr="0042228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)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422289" w:rsidRPr="00422289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6. Объемы безвозмездных поступлений из областного бюджета прогнозируются в соответствии с объемами, предусмотренными Законом </w:t>
      </w:r>
      <w:r w:rsidR="003B2EED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мской области (проектом Закона </w:t>
      </w:r>
      <w:r w:rsidR="003B2EED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>мской области) об областном бюджете на соответствующий год.</w:t>
      </w:r>
    </w:p>
    <w:p w:rsidR="00422289" w:rsidRPr="0015094B" w:rsidRDefault="00422289" w:rsidP="00422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Объемы безвозмездных поступлений из районного бюджета прогнозируются в соответствии с объемами, предусмотренными решением </w:t>
      </w:r>
      <w:r w:rsidR="003B2EED">
        <w:rPr>
          <w:rFonts w:ascii="Arial" w:eastAsia="Times New Roman" w:hAnsi="Arial" w:cs="Arial"/>
          <w:sz w:val="24"/>
          <w:szCs w:val="24"/>
          <w:lang w:eastAsia="ru-RU"/>
        </w:rPr>
        <w:t>Думы Томского района</w:t>
      </w:r>
      <w:r w:rsidRPr="00422289">
        <w:rPr>
          <w:rFonts w:ascii="Arial" w:eastAsia="Times New Roman" w:hAnsi="Arial" w:cs="Arial"/>
          <w:sz w:val="24"/>
          <w:szCs w:val="24"/>
          <w:lang w:eastAsia="ru-RU"/>
        </w:rPr>
        <w:t xml:space="preserve"> (проектом районного бюджета) о районном бюджете.</w:t>
      </w:r>
      <w:bookmarkStart w:id="0" w:name="_GoBack"/>
      <w:bookmarkEnd w:id="0"/>
    </w:p>
    <w:sectPr w:rsidR="00422289" w:rsidRPr="0015094B" w:rsidSect="0021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CD"/>
    <w:rsid w:val="000A55F5"/>
    <w:rsid w:val="000F2CFB"/>
    <w:rsid w:val="000F555D"/>
    <w:rsid w:val="0015094B"/>
    <w:rsid w:val="00156931"/>
    <w:rsid w:val="002004B1"/>
    <w:rsid w:val="00207F17"/>
    <w:rsid w:val="00210E7B"/>
    <w:rsid w:val="002129F4"/>
    <w:rsid w:val="00274475"/>
    <w:rsid w:val="002A4929"/>
    <w:rsid w:val="002C09CF"/>
    <w:rsid w:val="0030547B"/>
    <w:rsid w:val="00345060"/>
    <w:rsid w:val="003B2EED"/>
    <w:rsid w:val="00411D75"/>
    <w:rsid w:val="00422289"/>
    <w:rsid w:val="00486037"/>
    <w:rsid w:val="004B2D3D"/>
    <w:rsid w:val="00551532"/>
    <w:rsid w:val="005860E4"/>
    <w:rsid w:val="006304D8"/>
    <w:rsid w:val="006C6651"/>
    <w:rsid w:val="007565DD"/>
    <w:rsid w:val="007A2E97"/>
    <w:rsid w:val="009367BA"/>
    <w:rsid w:val="0093797D"/>
    <w:rsid w:val="00990380"/>
    <w:rsid w:val="00A520A6"/>
    <w:rsid w:val="00A629E8"/>
    <w:rsid w:val="00B155B7"/>
    <w:rsid w:val="00C43C56"/>
    <w:rsid w:val="00C65774"/>
    <w:rsid w:val="00CB431D"/>
    <w:rsid w:val="00CF76CD"/>
    <w:rsid w:val="00DB7BA7"/>
    <w:rsid w:val="00DC3302"/>
    <w:rsid w:val="00E87A53"/>
    <w:rsid w:val="00E9447D"/>
    <w:rsid w:val="00E96CCB"/>
    <w:rsid w:val="00EE5FF2"/>
    <w:rsid w:val="00EF554A"/>
    <w:rsid w:val="00F8780C"/>
    <w:rsid w:val="00F9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7B"/>
  </w:style>
  <w:style w:type="paragraph" w:styleId="2">
    <w:name w:val="heading 2"/>
    <w:basedOn w:val="a"/>
    <w:link w:val="20"/>
    <w:uiPriority w:val="9"/>
    <w:qFormat/>
    <w:rsid w:val="00422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65774"/>
  </w:style>
  <w:style w:type="character" w:customStyle="1" w:styleId="js-extracted-address">
    <w:name w:val="js-extracted-address"/>
    <w:basedOn w:val="a0"/>
    <w:rsid w:val="00C65774"/>
  </w:style>
  <w:style w:type="character" w:customStyle="1" w:styleId="mail-message-map-nobreak">
    <w:name w:val="mail-message-map-nobreak"/>
    <w:basedOn w:val="a0"/>
    <w:rsid w:val="00C65774"/>
  </w:style>
  <w:style w:type="character" w:styleId="a3">
    <w:name w:val="Hyperlink"/>
    <w:basedOn w:val="a0"/>
    <w:uiPriority w:val="99"/>
    <w:unhideWhenUsed/>
    <w:rsid w:val="00C65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22289"/>
  </w:style>
  <w:style w:type="paragraph" w:customStyle="1" w:styleId="consplusnormal">
    <w:name w:val="consplusnormal"/>
    <w:basedOn w:val="a"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22289"/>
    <w:rPr>
      <w:color w:val="800080"/>
      <w:u w:val="single"/>
    </w:rPr>
  </w:style>
  <w:style w:type="paragraph" w:customStyle="1" w:styleId="formattext">
    <w:name w:val="formattext"/>
    <w:basedOn w:val="a"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65774"/>
  </w:style>
  <w:style w:type="character" w:customStyle="1" w:styleId="js-extracted-address">
    <w:name w:val="js-extracted-address"/>
    <w:basedOn w:val="a0"/>
    <w:rsid w:val="00C65774"/>
  </w:style>
  <w:style w:type="character" w:customStyle="1" w:styleId="mail-message-map-nobreak">
    <w:name w:val="mail-message-map-nobreak"/>
    <w:basedOn w:val="a0"/>
    <w:rsid w:val="00C65774"/>
  </w:style>
  <w:style w:type="character" w:styleId="a3">
    <w:name w:val="Hyperlink"/>
    <w:basedOn w:val="a0"/>
    <w:uiPriority w:val="99"/>
    <w:unhideWhenUsed/>
    <w:rsid w:val="00C65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22289"/>
  </w:style>
  <w:style w:type="paragraph" w:customStyle="1" w:styleId="consplusnormal">
    <w:name w:val="consplusnormal"/>
    <w:basedOn w:val="a"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22289"/>
    <w:rPr>
      <w:color w:val="800080"/>
      <w:u w:val="single"/>
    </w:rPr>
  </w:style>
  <w:style w:type="paragraph" w:customStyle="1" w:styleId="formattext">
    <w:name w:val="formattext"/>
    <w:basedOn w:val="a"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ps.ru" TargetMode="External"/><Relationship Id="rId5" Type="http://schemas.openxmlformats.org/officeDocument/2006/relationships/hyperlink" Target="consultantplus://offline/ref=E4717EA1ADECF3E2DE05F557E7D1E8743530F457630F486412D80606283D5179A10A9BACD73F6Fn0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4220-ACF3-4C7E-8201-2E5D4C7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Бухгалтер1</dc:creator>
  <cp:lastModifiedBy>Бухгалтер 3</cp:lastModifiedBy>
  <cp:revision>2</cp:revision>
  <cp:lastPrinted>2016-11-17T08:01:00Z</cp:lastPrinted>
  <dcterms:created xsi:type="dcterms:W3CDTF">2016-11-18T03:48:00Z</dcterms:created>
  <dcterms:modified xsi:type="dcterms:W3CDTF">2016-11-18T03:48:00Z</dcterms:modified>
</cp:coreProperties>
</file>