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52" w:rsidRPr="00120D7D" w:rsidRDefault="00120D7D" w:rsidP="00E6481C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pacing w:val="6"/>
          <w:sz w:val="28"/>
          <w:szCs w:val="28"/>
        </w:rPr>
      </w:pPr>
      <w:bookmarkStart w:id="0" w:name="_GoBack"/>
      <w:bookmarkEnd w:id="0"/>
      <w:r w:rsidRPr="00120D7D">
        <w:rPr>
          <w:rFonts w:ascii="Times New Roman" w:hAnsi="Times New Roman" w:cs="Times New Roman"/>
          <w:b/>
          <w:spacing w:val="6"/>
          <w:sz w:val="28"/>
          <w:szCs w:val="28"/>
        </w:rPr>
        <w:t xml:space="preserve">Использование земельного участка не по целевому назначению </w:t>
      </w:r>
    </w:p>
    <w:p w:rsidR="00A808EA" w:rsidRPr="00B87E52" w:rsidRDefault="00A808EA" w:rsidP="00E6481C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В последнее время </w:t>
      </w:r>
      <w:proofErr w:type="spellStart"/>
      <w:r w:rsidRPr="005B1A5F">
        <w:rPr>
          <w:spacing w:val="6"/>
          <w:sz w:val="28"/>
          <w:szCs w:val="28"/>
        </w:rPr>
        <w:t>госземинспекторами</w:t>
      </w:r>
      <w:proofErr w:type="spellEnd"/>
      <w:r w:rsidRPr="005B1A5F">
        <w:rPr>
          <w:spacing w:val="6"/>
          <w:sz w:val="28"/>
          <w:szCs w:val="28"/>
        </w:rPr>
        <w:t xml:space="preserve"> Управления Федеральной службы государственной регистрации, кадастр</w:t>
      </w:r>
      <w:r w:rsidR="008E193B">
        <w:rPr>
          <w:spacing w:val="6"/>
          <w:sz w:val="28"/>
          <w:szCs w:val="28"/>
        </w:rPr>
        <w:t>а и картографии по Томской</w:t>
      </w:r>
      <w:r w:rsidRPr="005B1A5F">
        <w:rPr>
          <w:spacing w:val="6"/>
          <w:sz w:val="28"/>
          <w:szCs w:val="28"/>
        </w:rPr>
        <w:t xml:space="preserve"> области</w:t>
      </w:r>
      <w:r w:rsidR="00E6481C">
        <w:rPr>
          <w:spacing w:val="6"/>
          <w:sz w:val="28"/>
          <w:szCs w:val="28"/>
        </w:rPr>
        <w:t xml:space="preserve"> (далее – Управление)</w:t>
      </w:r>
      <w:r w:rsidRPr="005B1A5F">
        <w:rPr>
          <w:spacing w:val="6"/>
          <w:sz w:val="28"/>
          <w:szCs w:val="28"/>
        </w:rPr>
        <w:t xml:space="preserve"> все чаще выявляются нарушения земельного законодательства, связанные с нецелевым использованием земельных участков. Ответственность за данное правонарушение предусмотрена ч. 1 ст. 8.8 КоАП РФ «Использование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использованием», </w:t>
      </w:r>
      <w:r w:rsidR="00CF5916" w:rsidRPr="00CF5916">
        <w:rPr>
          <w:spacing w:val="6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В ходе осуществления мероприятий по государственному земельному над</w:t>
      </w:r>
      <w:r w:rsidR="008E193B">
        <w:rPr>
          <w:spacing w:val="6"/>
          <w:sz w:val="28"/>
          <w:szCs w:val="28"/>
        </w:rPr>
        <w:t>зору на территории Томской</w:t>
      </w:r>
      <w:r w:rsidRPr="005B1A5F">
        <w:rPr>
          <w:spacing w:val="6"/>
          <w:sz w:val="28"/>
          <w:szCs w:val="28"/>
        </w:rPr>
        <w:t xml:space="preserve"> области на земельных участках, предоставленных, например, для размещения индивидуального жилого дома, уполномоченные должностные лица Управления устанавливают факты их исполь</w:t>
      </w:r>
      <w:r w:rsidR="008E193B">
        <w:rPr>
          <w:spacing w:val="6"/>
          <w:sz w:val="28"/>
          <w:szCs w:val="28"/>
        </w:rPr>
        <w:t>зования под размещение</w:t>
      </w:r>
      <w:r w:rsidRPr="005B1A5F">
        <w:rPr>
          <w:spacing w:val="6"/>
          <w:sz w:val="28"/>
          <w:szCs w:val="28"/>
        </w:rPr>
        <w:t xml:space="preserve"> магазинов, автомастерских, в</w:t>
      </w:r>
      <w:r w:rsidR="008E193B">
        <w:rPr>
          <w:spacing w:val="6"/>
          <w:sz w:val="28"/>
          <w:szCs w:val="28"/>
        </w:rPr>
        <w:t xml:space="preserve">етеринарных клиник, </w:t>
      </w:r>
      <w:r w:rsidRPr="005B1A5F">
        <w:rPr>
          <w:spacing w:val="6"/>
          <w:sz w:val="28"/>
          <w:szCs w:val="28"/>
        </w:rPr>
        <w:t xml:space="preserve">содержание домашнего скота и птицы и т.п. Как правило, перечисленные виды разрешенного использования содержатся в основных либо вспомогательных видах разрешенного использования земельных участков, установленных зонированием территорий. Вместе с тем, по каждому выявленному факту </w:t>
      </w:r>
      <w:proofErr w:type="spellStart"/>
      <w:r w:rsidRPr="005B1A5F">
        <w:rPr>
          <w:spacing w:val="6"/>
          <w:sz w:val="28"/>
          <w:szCs w:val="28"/>
        </w:rPr>
        <w:t>госземинспектор</w:t>
      </w:r>
      <w:proofErr w:type="spellEnd"/>
      <w:r w:rsidRPr="005B1A5F">
        <w:rPr>
          <w:spacing w:val="6"/>
          <w:sz w:val="28"/>
          <w:szCs w:val="28"/>
        </w:rPr>
        <w:t xml:space="preserve"> составляет протокол об административном правонарушении и направляет его для рассмотрения по существу. </w:t>
      </w:r>
    </w:p>
    <w:p w:rsidR="005B1A5F" w:rsidRPr="005B1A5F" w:rsidRDefault="008E193B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соответствии с</w:t>
      </w:r>
      <w:r w:rsidR="005B1A5F" w:rsidRPr="005B1A5F">
        <w:rPr>
          <w:spacing w:val="6"/>
          <w:sz w:val="28"/>
          <w:szCs w:val="28"/>
        </w:rPr>
        <w:t xml:space="preserve"> п. 2 ст. 7, п. 3 ст. 85 Земельного кодекса РФ, п. 4 ст. 37 Градостр</w:t>
      </w:r>
      <w:r>
        <w:rPr>
          <w:spacing w:val="6"/>
          <w:sz w:val="28"/>
          <w:szCs w:val="28"/>
        </w:rPr>
        <w:t xml:space="preserve">оительного кодекса РФ, </w:t>
      </w:r>
      <w:r w:rsidR="005B1A5F" w:rsidRPr="005B1A5F">
        <w:rPr>
          <w:spacing w:val="6"/>
          <w:sz w:val="28"/>
          <w:szCs w:val="28"/>
        </w:rPr>
        <w:t xml:space="preserve"> вид разрешенного использования земельного участка выбирается его правообладателем самостоятельно, без дополнительного согласования и ходатайствуют о прекращении дел в связи с отсутствием события правонарушения. Данный вывод основан на неверном толковании норм права. Правообладатель после самостоятельного выбора разрешенного вида использования земельного </w:t>
      </w:r>
      <w:r w:rsidR="005B1A5F" w:rsidRPr="005B1A5F">
        <w:rPr>
          <w:spacing w:val="6"/>
          <w:sz w:val="28"/>
          <w:szCs w:val="28"/>
        </w:rPr>
        <w:lastRenderedPageBreak/>
        <w:t>участка обязан обратиться в орган регистрации прав с заявлением о внесении изменений в Единый государственный реестр недвижимости</w:t>
      </w:r>
      <w:r>
        <w:rPr>
          <w:spacing w:val="6"/>
          <w:sz w:val="28"/>
          <w:szCs w:val="28"/>
        </w:rPr>
        <w:t xml:space="preserve"> (Далее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-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ЕГРН)</w:t>
      </w:r>
      <w:r w:rsidR="005B1A5F" w:rsidRPr="005B1A5F">
        <w:rPr>
          <w:spacing w:val="6"/>
          <w:sz w:val="28"/>
          <w:szCs w:val="28"/>
        </w:rPr>
        <w:t xml:space="preserve">. </w:t>
      </w:r>
    </w:p>
    <w:p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Необходимость внесения изменений вида разрешенного использования исследована судом. В соответствии с позицией Президиума Высшего Арбитражного Суда РФ (Постановление от 15.12.2011 № 12651/22) фактическое использование земельного участка должно отвечать его разрешенному использованию и сходиться со сведениями, внесенн</w:t>
      </w:r>
      <w:r w:rsidR="008E193B">
        <w:rPr>
          <w:spacing w:val="6"/>
          <w:sz w:val="28"/>
          <w:szCs w:val="28"/>
        </w:rPr>
        <w:t>ыми в ЕГРН</w:t>
      </w:r>
      <w:r w:rsidRPr="005B1A5F">
        <w:rPr>
          <w:spacing w:val="6"/>
          <w:sz w:val="28"/>
          <w:szCs w:val="28"/>
        </w:rPr>
        <w:t xml:space="preserve">. Верховным Судом РФ установлено (Постановление от 03.08.2017 № 14-АД17-6), что п. 3 ст. 85 Земельного кодекса РФ допускает использование земельных участков их собственниками, землепользователями, землевладельцами и арендаторами в соответствии с любым видом разрешенного использования, предусмотренным градостроительным регламентом для каждой территориальной зоны. Данной нормой определен общий критерий, позволяющий изменить именно фактическое использование земельного участка, которое должно быть впоследствии отражено в кадастре недвижимости. </w:t>
      </w:r>
    </w:p>
    <w:p w:rsidR="00F90053" w:rsidRPr="00E6481C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Управление рекомендует правообладателям земельных участков, использующих их не по целевому назначению, обратиться в органы местного самоуправления с вопросом о возможности изменения вида разрешенного использования и, в случае пол</w:t>
      </w:r>
      <w:r w:rsidR="008E193B">
        <w:rPr>
          <w:spacing w:val="6"/>
          <w:sz w:val="28"/>
          <w:szCs w:val="28"/>
        </w:rPr>
        <w:t xml:space="preserve">ожительного ответа, </w:t>
      </w:r>
      <w:r w:rsidRPr="005B1A5F">
        <w:rPr>
          <w:spacing w:val="6"/>
          <w:sz w:val="28"/>
          <w:szCs w:val="28"/>
        </w:rPr>
        <w:t xml:space="preserve"> </w:t>
      </w:r>
      <w:r w:rsidR="00E6481C">
        <w:rPr>
          <w:spacing w:val="6"/>
          <w:sz w:val="28"/>
          <w:szCs w:val="28"/>
        </w:rPr>
        <w:t xml:space="preserve">в </w:t>
      </w:r>
      <w:r w:rsidRPr="005B1A5F">
        <w:rPr>
          <w:spacing w:val="6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8E193B">
        <w:rPr>
          <w:spacing w:val="6"/>
          <w:sz w:val="28"/>
          <w:szCs w:val="28"/>
        </w:rPr>
        <w:t xml:space="preserve"> </w:t>
      </w:r>
      <w:r w:rsidRPr="005B1A5F">
        <w:rPr>
          <w:spacing w:val="6"/>
          <w:sz w:val="28"/>
          <w:szCs w:val="28"/>
        </w:rPr>
        <w:t>с соответствующим заявлением. В случае, если изменение разрешенного вида использования земельного участка невозможно, рекомендуем привести его в соответствие с правоустанавливающими документами на землю, прекратив использование земли не по целевому назначению.</w:t>
      </w: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1C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E52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6481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E6481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481C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43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8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81C">
        <w:rPr>
          <w:rFonts w:ascii="Times New Roman" w:hAnsi="Times New Roman" w:cs="Times New Roman"/>
          <w:sz w:val="28"/>
          <w:szCs w:val="28"/>
        </w:rPr>
        <w:t>А.П. Ляшенко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7E52" w:rsidRDefault="00B87E52" w:rsidP="00E64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5F29" w:rsidRPr="00511247" w:rsidRDefault="008F5F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5F29" w:rsidRPr="00511247" w:rsidSect="00E3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C"/>
    <w:rsid w:val="000C1FE2"/>
    <w:rsid w:val="000E2C54"/>
    <w:rsid w:val="00120D7D"/>
    <w:rsid w:val="001426EC"/>
    <w:rsid w:val="0018497F"/>
    <w:rsid w:val="002C591C"/>
    <w:rsid w:val="002D2EDA"/>
    <w:rsid w:val="00343BDD"/>
    <w:rsid w:val="00435FB0"/>
    <w:rsid w:val="00511247"/>
    <w:rsid w:val="0059605C"/>
    <w:rsid w:val="005B1A5F"/>
    <w:rsid w:val="00651858"/>
    <w:rsid w:val="006F60DB"/>
    <w:rsid w:val="0073370C"/>
    <w:rsid w:val="007B3A47"/>
    <w:rsid w:val="007C231C"/>
    <w:rsid w:val="008E193B"/>
    <w:rsid w:val="008F5F29"/>
    <w:rsid w:val="00A23206"/>
    <w:rsid w:val="00A32F92"/>
    <w:rsid w:val="00A55C6C"/>
    <w:rsid w:val="00A808EA"/>
    <w:rsid w:val="00B25719"/>
    <w:rsid w:val="00B87E52"/>
    <w:rsid w:val="00CC726B"/>
    <w:rsid w:val="00CF5916"/>
    <w:rsid w:val="00E36C61"/>
    <w:rsid w:val="00E6481C"/>
    <w:rsid w:val="00E82A0A"/>
    <w:rsid w:val="00EC5B50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0E469-9E71-414F-B708-CA0E59B3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2</cp:revision>
  <cp:lastPrinted>2020-10-15T09:32:00Z</cp:lastPrinted>
  <dcterms:created xsi:type="dcterms:W3CDTF">2020-10-20T06:29:00Z</dcterms:created>
  <dcterms:modified xsi:type="dcterms:W3CDTF">2020-10-20T06:29:00Z</dcterms:modified>
</cp:coreProperties>
</file>